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60015" w14:textId="65600C2C" w:rsidR="00A03E9A" w:rsidRDefault="0004676E" w:rsidP="0004676E">
      <w:pPr>
        <w:spacing w:line="480" w:lineRule="auto"/>
        <w:jc w:val="center"/>
        <w:rPr>
          <w:rFonts w:ascii="Times New Roman" w:hAnsi="Times New Roman" w:cs="Times New Roman"/>
          <w:sz w:val="24"/>
          <w:szCs w:val="24"/>
          <w:lang w:val="en-GB"/>
        </w:rPr>
      </w:pPr>
      <w:r w:rsidRPr="0004676E">
        <w:rPr>
          <w:rFonts w:ascii="Times New Roman" w:hAnsi="Times New Roman" w:cs="Times New Roman"/>
          <w:color w:val="000000" w:themeColor="text1"/>
          <w:sz w:val="24"/>
          <w:szCs w:val="24"/>
          <w:shd w:val="clear" w:color="auto" w:fill="FFFFFF"/>
        </w:rPr>
        <w:t>Deanna Guirand</w:t>
      </w:r>
    </w:p>
    <w:p w14:paraId="700DE52A" w14:textId="6823D95A" w:rsidR="00A03E9A" w:rsidRDefault="0004676E" w:rsidP="0004676E">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John Jay College</w:t>
      </w:r>
    </w:p>
    <w:p w14:paraId="2051E1A5" w14:textId="144967E9" w:rsidR="00A03E9A" w:rsidRDefault="00B31344" w:rsidP="0004676E">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Professor </w:t>
      </w:r>
      <w:r w:rsidR="0004676E">
        <w:rPr>
          <w:rFonts w:ascii="Times New Roman" w:hAnsi="Times New Roman" w:cs="Times New Roman"/>
          <w:sz w:val="24"/>
          <w:szCs w:val="24"/>
          <w:lang w:val="en-GB"/>
        </w:rPr>
        <w:t>Deane</w:t>
      </w:r>
    </w:p>
    <w:p w14:paraId="004A470B" w14:textId="4B451C8F" w:rsidR="00A03E9A" w:rsidRDefault="0004676E" w:rsidP="0004676E">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17/2/2021</w:t>
      </w:r>
    </w:p>
    <w:p w14:paraId="3C942B24" w14:textId="77777777" w:rsidR="00A03E9A" w:rsidRDefault="00B313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POWERS OF JUDICIARY</w:t>
      </w:r>
    </w:p>
    <w:p w14:paraId="1B47DC1F" w14:textId="77777777" w:rsidR="00A03E9A" w:rsidRDefault="00B3134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Should the supreme court hear the case? Why or why not?</w:t>
      </w:r>
    </w:p>
    <w:p w14:paraId="2ED46389" w14:textId="77777777"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supreme court should hear the case because everybody has the right to appeal if he or she is not satisfied with the ruling from the previous court (Beausoleil, 35). However, the court should rule in favour of the public and so Trump should lose the case due to the following reasons; according to the laws that govern the public constitution, every citizen has the right to take part in public participation and no one has the mandate to limit the public or a section of the public from participating in such forums. </w:t>
      </w:r>
    </w:p>
    <w:p w14:paraId="24FB432E" w14:textId="77777777"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Through the public forums, there is an open and accountable structured process where the people in the community can interact and exchange their views which influence the decision making. Through the public forums, the participation of the public is part of the democratic process and no one, including those in power, should practice intimidation of any kind to the public (Beausoleil, 35). Public participation is considered to be equated to the public service delivery where the general public should give their views on the issues affecting them and later their provisions will be forwarded to the central government where they are heard and acted upon. This act of public participation shows the link between citizen participation and the service delivery to the local people and without that, then there will be no service provision to the public at all.</w:t>
      </w:r>
    </w:p>
    <w:p w14:paraId="564D0F54" w14:textId="77777777" w:rsidR="00A03E9A" w:rsidRDefault="00B3134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The argument in the state of TEXAS, plaintiff, COMMONWEALTH OF PENNSYLVANIA, STATE OF GEORGIA, STATE OF MICHIGAN AND STATE OF WISCONSIN. What did the supreme court hold?</w:t>
      </w:r>
    </w:p>
    <w:p w14:paraId="6551FEA0" w14:textId="77777777"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attorney generals of the four states had filed a case seeking the supreme court to reject the lawsuit from Texas who were seeking the overturn of the president-elect Joes Biden’s victories in the four states (Kotok, 420). However, the supreme court rejected the lawsuit and held that the elections were free and fair. Through the brief unsigned order, the court said that Texas lacked standing to pursue the case as it had not demonstrated a judicially cognizable interest in the manner in which other states conducted their elections.</w:t>
      </w:r>
    </w:p>
    <w:p w14:paraId="15A23CA9" w14:textId="77777777" w:rsidR="00A03E9A" w:rsidRDefault="00B313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Can the plaintiff sue the city in October? Why or why not?</w:t>
      </w:r>
    </w:p>
    <w:p w14:paraId="0BFDCE87" w14:textId="77777777" w:rsidR="00A03E9A" w:rsidRDefault="00B31344">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plaintiff can sue the city in October. This is because in consideration of the constitutional provisions, everybody provided he or she is a citizen of a certain country legally, has the right to own property (Nelson, 79). The possession of the property should be allowed in whatever case provided the owner follows all the legal procedures to own it as per the law.</w:t>
      </w:r>
    </w:p>
    <w:p w14:paraId="22E8CE30" w14:textId="77777777" w:rsidR="00A03E9A" w:rsidRDefault="00A03E9A">
      <w:pPr>
        <w:spacing w:line="480" w:lineRule="auto"/>
        <w:jc w:val="center"/>
        <w:rPr>
          <w:rFonts w:ascii="Times New Roman" w:hAnsi="Times New Roman" w:cs="Times New Roman"/>
          <w:b/>
          <w:bCs/>
          <w:sz w:val="24"/>
          <w:szCs w:val="24"/>
          <w:lang w:val="en-GB"/>
        </w:rPr>
      </w:pPr>
    </w:p>
    <w:p w14:paraId="583AC34E" w14:textId="77777777" w:rsidR="00A03E9A" w:rsidRDefault="00A03E9A">
      <w:pPr>
        <w:spacing w:line="480" w:lineRule="auto"/>
        <w:jc w:val="center"/>
        <w:rPr>
          <w:rFonts w:ascii="Times New Roman" w:hAnsi="Times New Roman" w:cs="Times New Roman"/>
          <w:b/>
          <w:bCs/>
          <w:sz w:val="24"/>
          <w:szCs w:val="24"/>
          <w:lang w:val="en-GB"/>
        </w:rPr>
      </w:pPr>
    </w:p>
    <w:p w14:paraId="61636632" w14:textId="77777777" w:rsidR="00A03E9A" w:rsidRDefault="00A03E9A">
      <w:pPr>
        <w:spacing w:line="480" w:lineRule="auto"/>
        <w:jc w:val="center"/>
        <w:rPr>
          <w:rFonts w:ascii="Times New Roman" w:hAnsi="Times New Roman" w:cs="Times New Roman"/>
          <w:b/>
          <w:bCs/>
          <w:sz w:val="24"/>
          <w:szCs w:val="24"/>
          <w:lang w:val="en-GB"/>
        </w:rPr>
      </w:pPr>
    </w:p>
    <w:p w14:paraId="3D54645B" w14:textId="77777777" w:rsidR="00A03E9A" w:rsidRDefault="00A03E9A">
      <w:pPr>
        <w:spacing w:line="480" w:lineRule="auto"/>
        <w:jc w:val="center"/>
        <w:rPr>
          <w:rFonts w:ascii="Times New Roman" w:hAnsi="Times New Roman" w:cs="Times New Roman"/>
          <w:b/>
          <w:bCs/>
          <w:sz w:val="24"/>
          <w:szCs w:val="24"/>
          <w:lang w:val="en-GB"/>
        </w:rPr>
      </w:pPr>
    </w:p>
    <w:p w14:paraId="699AC8E1" w14:textId="77777777" w:rsidR="00A03E9A" w:rsidRDefault="00A03E9A">
      <w:pPr>
        <w:spacing w:line="480" w:lineRule="auto"/>
        <w:jc w:val="center"/>
        <w:rPr>
          <w:rFonts w:ascii="Times New Roman" w:hAnsi="Times New Roman" w:cs="Times New Roman"/>
          <w:b/>
          <w:bCs/>
          <w:sz w:val="24"/>
          <w:szCs w:val="24"/>
          <w:lang w:val="en-GB"/>
        </w:rPr>
      </w:pPr>
    </w:p>
    <w:p w14:paraId="72194710" w14:textId="77777777" w:rsidR="00A03E9A" w:rsidRDefault="00B31344">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Works cited</w:t>
      </w:r>
    </w:p>
    <w:p w14:paraId="4EC81D29" w14:textId="77777777" w:rsidR="00A03E9A" w:rsidRDefault="00B31344">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Beausoleil, Lauren. "Is Trolling Trump a Right or a Privilege: The Erroneous Finding in Knight First Amendment Institute at Columbia University v. Trump?" BCL Rev. II- 60 (2019): 31-41</w:t>
      </w:r>
    </w:p>
    <w:p w14:paraId="6E137A8B" w14:textId="77777777" w:rsidR="00A03E9A" w:rsidRDefault="00B31344">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Kotok, Stephen, et al. "School choice, racial segregation, and poverty concentration: Evidence from Pennsylvania charter school transfers." Educational Policy 31.4 (2017): 415-447.</w:t>
      </w:r>
    </w:p>
    <w:p w14:paraId="7C511FBA" w14:textId="77777777" w:rsidR="00A03E9A" w:rsidRDefault="00B31344">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Nelson, William E. </w:t>
      </w:r>
      <w:proofErr w:type="spellStart"/>
      <w:r>
        <w:rPr>
          <w:rFonts w:ascii="Times New Roman" w:hAnsi="Times New Roman" w:cs="Times New Roman"/>
          <w:sz w:val="24"/>
          <w:szCs w:val="24"/>
          <w:lang w:val="en-GB"/>
        </w:rPr>
        <w:t>Marbury</w:t>
      </w:r>
      <w:proofErr w:type="spellEnd"/>
      <w:r>
        <w:rPr>
          <w:rFonts w:ascii="Times New Roman" w:hAnsi="Times New Roman" w:cs="Times New Roman"/>
          <w:sz w:val="24"/>
          <w:szCs w:val="24"/>
          <w:lang w:val="en-GB"/>
        </w:rPr>
        <w:t xml:space="preserve"> v. Madison: The Origins and Legacy of Judicial Review, Revised and Expanded. University Press of Kansas, 2018: 79-81</w:t>
      </w:r>
    </w:p>
    <w:p w14:paraId="4F3B1EE0" w14:textId="77777777" w:rsidR="003B58C2" w:rsidRDefault="003B58C2" w:rsidP="003B58C2">
      <w:pPr>
        <w:spacing w:line="480" w:lineRule="auto"/>
        <w:jc w:val="both"/>
        <w:rPr>
          <w:rFonts w:ascii="Times New Roman" w:hAnsi="Times New Roman" w:cs="Times New Roman"/>
          <w:sz w:val="24"/>
          <w:szCs w:val="24"/>
          <w:lang w:val="en-GB"/>
        </w:rPr>
      </w:pPr>
    </w:p>
    <w:p w14:paraId="2A1C5E67" w14:textId="77777777" w:rsidR="003B58C2" w:rsidRPr="003B58C2" w:rsidRDefault="003B58C2" w:rsidP="003B58C2">
      <w:pPr>
        <w:spacing w:line="240" w:lineRule="auto"/>
        <w:ind w:left="720" w:hanging="720"/>
        <w:jc w:val="both"/>
        <w:rPr>
          <w:rFonts w:ascii="Times New Roman" w:hAnsi="Times New Roman" w:cs="Times New Roman"/>
          <w:b/>
          <w:sz w:val="24"/>
          <w:szCs w:val="24"/>
          <w:lang w:val="en-GB"/>
        </w:rPr>
      </w:pPr>
      <w:r w:rsidRPr="003B58C2">
        <w:rPr>
          <w:rFonts w:ascii="Times New Roman" w:hAnsi="Times New Roman" w:cs="Times New Roman"/>
          <w:b/>
          <w:sz w:val="24"/>
          <w:szCs w:val="24"/>
          <w:lang w:val="en-GB"/>
        </w:rPr>
        <w:t>NB: Hello my friend. Remember to delete this part before you submit your work.</w:t>
      </w:r>
    </w:p>
    <w:p w14:paraId="1D5E65E5" w14:textId="77777777" w:rsidR="003B58C2" w:rsidRPr="003B58C2" w:rsidRDefault="003B58C2" w:rsidP="003B58C2">
      <w:pPr>
        <w:spacing w:line="240" w:lineRule="auto"/>
        <w:ind w:left="720" w:hanging="720"/>
        <w:jc w:val="both"/>
        <w:rPr>
          <w:rFonts w:ascii="Times New Roman" w:hAnsi="Times New Roman" w:cs="Times New Roman"/>
          <w:b/>
          <w:sz w:val="24"/>
          <w:szCs w:val="24"/>
          <w:lang w:val="en-GB"/>
        </w:rPr>
      </w:pPr>
      <w:r w:rsidRPr="003B58C2">
        <w:rPr>
          <w:rFonts w:ascii="Times New Roman" w:hAnsi="Times New Roman" w:cs="Times New Roman"/>
          <w:b/>
          <w:sz w:val="24"/>
          <w:szCs w:val="24"/>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14:paraId="4977B8D0" w14:textId="77777777" w:rsidR="00A03E9A" w:rsidRDefault="00A03E9A">
      <w:pPr>
        <w:spacing w:line="480" w:lineRule="auto"/>
        <w:jc w:val="both"/>
        <w:rPr>
          <w:rFonts w:ascii="Times New Roman" w:hAnsi="Times New Roman" w:cs="Times New Roman"/>
          <w:b/>
          <w:bCs/>
          <w:sz w:val="24"/>
          <w:szCs w:val="24"/>
          <w:lang w:val="en-GB"/>
        </w:rPr>
      </w:pPr>
    </w:p>
    <w:sectPr w:rsidR="00A03E9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4563D" w14:textId="77777777" w:rsidR="005B6E7D" w:rsidRDefault="005B6E7D">
      <w:pPr>
        <w:spacing w:after="0" w:line="240" w:lineRule="auto"/>
      </w:pPr>
      <w:r>
        <w:separator/>
      </w:r>
    </w:p>
  </w:endnote>
  <w:endnote w:type="continuationSeparator" w:id="0">
    <w:p w14:paraId="6D814EFC" w14:textId="77777777" w:rsidR="005B6E7D" w:rsidRDefault="005B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CB40F" w14:textId="77777777" w:rsidR="005B6E7D" w:rsidRDefault="005B6E7D">
      <w:pPr>
        <w:spacing w:after="0" w:line="240" w:lineRule="auto"/>
      </w:pPr>
      <w:r>
        <w:separator/>
      </w:r>
    </w:p>
  </w:footnote>
  <w:footnote w:type="continuationSeparator" w:id="0">
    <w:p w14:paraId="0F230B48" w14:textId="77777777" w:rsidR="005B6E7D" w:rsidRDefault="005B6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DCE2" w14:textId="77777777" w:rsidR="00A03E9A" w:rsidRDefault="00B31344">
    <w:pPr>
      <w:pStyle w:val="Header"/>
      <w:spacing w:line="480" w:lineRule="auto"/>
      <w:jc w:val="right"/>
    </w:pPr>
    <w:r>
      <w:rPr>
        <w:rFonts w:ascii="Times New Roman" w:hAnsi="Times New Roman" w:cs="Times New Roman"/>
        <w:sz w:val="24"/>
        <w:szCs w:val="24"/>
      </w:rPr>
      <w:t>Surname</w:t>
    </w:r>
    <w:r>
      <w:fldChar w:fldCharType="begin"/>
    </w:r>
    <w:r>
      <w:instrText xml:space="preserve"> PAGE   \* MERGEFORMAT </w:instrText>
    </w:r>
    <w:r>
      <w:fldChar w:fldCharType="separate"/>
    </w:r>
    <w:r w:rsidR="003B58C2">
      <w:rPr>
        <w:noProof/>
      </w:rPr>
      <w:t>1</w:t>
    </w:r>
    <w:r>
      <w:rPr>
        <w:noProof/>
      </w:rPr>
      <w:fldChar w:fldCharType="end"/>
    </w:r>
  </w:p>
  <w:p w14:paraId="05AF8D05" w14:textId="77777777" w:rsidR="00A03E9A" w:rsidRDefault="00A03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9A"/>
    <w:rsid w:val="0004676E"/>
    <w:rsid w:val="003B58C2"/>
    <w:rsid w:val="005B6E7D"/>
    <w:rsid w:val="00A03E9A"/>
    <w:rsid w:val="00B20441"/>
    <w:rsid w:val="00B31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D579"/>
  <w15:docId w15:val="{9342A59E-BE22-4903-841F-A1DE0C9A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cp:lastModifiedBy>
  <cp:revision>22</cp:revision>
  <dcterms:created xsi:type="dcterms:W3CDTF">2021-02-16T10:51:00Z</dcterms:created>
  <dcterms:modified xsi:type="dcterms:W3CDTF">2021-02-16T22:24:00Z</dcterms:modified>
</cp:coreProperties>
</file>